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CBD3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10414000</wp:posOffset>
            </wp:positionV>
            <wp:extent cx="444500" cy="406400"/>
            <wp:effectExtent l="0" t="0" r="12700" b="1270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年初中学业水平考试试卷</w:t>
      </w:r>
    </w:p>
    <w:p w14:paraId="6C1F6F15">
      <w:pPr>
        <w:spacing w:line="360" w:lineRule="auto"/>
        <w:jc w:val="center"/>
        <w:textAlignment w:val="center"/>
        <w:rPr>
          <w:rFonts w:eastAsia="Times New Roman" w:cs="Times New Roman"/>
          <w:b/>
          <w:sz w:val="32"/>
        </w:rPr>
      </w:pPr>
      <w:r>
        <w:rPr>
          <w:rFonts w:ascii="宋体" w:hAnsi="宋体"/>
          <w:b/>
          <w:sz w:val="32"/>
        </w:rPr>
        <w:t>历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史</w:t>
      </w:r>
      <w:r>
        <w:rPr>
          <w:rFonts w:eastAsia="Times New Roman" w:cs="Times New Roman"/>
          <w:b/>
          <w:sz w:val="32"/>
        </w:rPr>
        <w:t xml:space="preserve"> </w:t>
      </w:r>
    </w:p>
    <w:p w14:paraId="1CC0AEA3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  <w:r>
        <w:rPr>
          <w:rFonts w:eastAsia="Times New Roman" w:cs="Times New Roman"/>
          <w:b/>
          <w:sz w:val="24"/>
        </w:rPr>
        <w:t xml:space="preserve"> </w:t>
      </w:r>
    </w:p>
    <w:p w14:paraId="78A83350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。考试时间为</w:t>
      </w:r>
      <w:r>
        <w:rPr>
          <w:rFonts w:eastAsia="Times New Roman" w:cs="Times New Roman"/>
          <w:b/>
          <w:sz w:val="24"/>
        </w:rPr>
        <w:t xml:space="preserve"> 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。</w:t>
      </w:r>
      <w:r>
        <w:rPr>
          <w:rFonts w:eastAsia="Times New Roman" w:cs="Times New Roman"/>
          <w:b/>
          <w:sz w:val="24"/>
        </w:rPr>
        <w:t xml:space="preserve"> </w:t>
      </w:r>
    </w:p>
    <w:p w14:paraId="7B55DF36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答题前，考生务必先将自己的考生号、姓名、座位号等信息填写在试卷和答题卡的指定位置。请认真核对条形码上的相关信息后，将条形码粘贴在答题卡的指定位置上。</w:t>
      </w:r>
      <w:r>
        <w:rPr>
          <w:rFonts w:eastAsia="Times New Roman" w:cs="Times New Roman"/>
          <w:b/>
          <w:sz w:val="24"/>
        </w:rPr>
        <w:t xml:space="preserve"> </w:t>
      </w:r>
    </w:p>
    <w:p w14:paraId="349EFBB6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答题时，将答案写在答题卡上。写在本试卷上无效。</w:t>
      </w:r>
      <w:r>
        <w:rPr>
          <w:rFonts w:eastAsia="Times New Roman" w:cs="Times New Roman"/>
          <w:b/>
          <w:sz w:val="24"/>
        </w:rPr>
        <w:t xml:space="preserve"> </w:t>
      </w:r>
    </w:p>
    <w:p w14:paraId="0EA51BA6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考试结束后，将本试卷和答题卡一并交回。</w:t>
      </w:r>
      <w:r>
        <w:rPr>
          <w:rFonts w:eastAsia="Times New Roman" w:cs="Times New Roman"/>
          <w:b/>
          <w:sz w:val="24"/>
        </w:rPr>
        <w:t xml:space="preserve"> </w:t>
      </w:r>
    </w:p>
    <w:p w14:paraId="404121F8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 xml:space="preserve"> 20</w:t>
      </w:r>
      <w:r>
        <w:rPr>
          <w:rFonts w:ascii="宋体" w:hAnsi="宋体"/>
          <w:b/>
          <w:sz w:val="24"/>
        </w:rPr>
        <w:t>分。在每小题给出的四个选项中，只有一项是符合题目要求的，请将答题卡上对应题目的答案标号涂黑。</w:t>
      </w:r>
      <w:r>
        <w:rPr>
          <w:rFonts w:eastAsia="Times New Roman" w:cs="Times New Roman"/>
          <w:b/>
          <w:sz w:val="24"/>
        </w:rPr>
        <w:t xml:space="preserve"> </w:t>
      </w:r>
    </w:p>
    <w:p w14:paraId="3746BF9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实物史料蕴含了丰富的历史信息。图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和图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集中展示了</w:t>
      </w:r>
    </w:p>
    <w:p w14:paraId="2F4F39B0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3638550" cy="1543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321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铸造工艺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高超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早期文明的成就</w:t>
      </w:r>
    </w:p>
    <w:p w14:paraId="27D6932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石器时代的风貌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文字演变的历程</w:t>
      </w:r>
    </w:p>
    <w:p w14:paraId="2C3615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秦朝能够集中组织人力、物力和财力完成万里长城和秦始皇陵兵马俑修建的主要原因</w:t>
      </w:r>
    </w:p>
    <w:p w14:paraId="093429C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中央集权制度的确立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儒家思想的影响</w:t>
      </w:r>
    </w:p>
    <w:p w14:paraId="062030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秦末农民起义的爆发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统一六国的需要</w:t>
      </w:r>
    </w:p>
    <w:p w14:paraId="794E3D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魏晋南北朝时期，各民族间交往、交流与交融日益加强，南方经济得到发展，科技文化显著进步。这些因素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共同作用是</w:t>
      </w:r>
    </w:p>
    <w:p w14:paraId="61AFCB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实现了经济重心的南移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消除了南北之间的差异</w:t>
      </w:r>
    </w:p>
    <w:p w14:paraId="5E0B5CB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奠定了隋唐统一的基础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形成了三国鼎立的局面</w:t>
      </w:r>
    </w:p>
    <w:p w14:paraId="44DEB4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宋朝“苏湖熟，天下足”到清朝时“湖广熟，天下足”，这一民间谚语的变化，可以用于研究清朝</w:t>
      </w:r>
    </w:p>
    <w:p w14:paraId="45A3A30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铁犁和牛耕的出现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文化艺术的繁荣</w:t>
      </w:r>
    </w:p>
    <w:p w14:paraId="128692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土地私有制的确立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农业的发展变化</w:t>
      </w:r>
    </w:p>
    <w:p w14:paraId="5D307F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“扶清灭洋”“变法图强”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“三民主义”“工农武装割据”这些口号和主张、理论共同说明了近代中国的历史任务是</w:t>
      </w:r>
    </w:p>
    <w:p w14:paraId="032794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民族独立，人民解放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发动革命，实现共和</w:t>
      </w:r>
    </w:p>
    <w:p w14:paraId="4C623A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革故鼎新，变法救国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学习西方，挽救危机</w:t>
      </w:r>
    </w:p>
    <w:p w14:paraId="735401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1912</w:t>
      </w:r>
      <w:r>
        <w:rPr>
          <w:rFonts w:ascii="宋体" w:hAnsi="宋体"/>
          <w:color w:val="000000"/>
        </w:rPr>
        <w:t>年，辛亥革命推翻了清王朝统治，建立起中国历史上从来不曾有过的共和政体，推动了中国社会的变革。这表明，辛亥革命</w:t>
      </w:r>
    </w:p>
    <w:p w14:paraId="55A60A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促进了北伐的胜利进军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开启了新民主主义革命的历程</w:t>
      </w:r>
    </w:p>
    <w:p w14:paraId="388ED0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改变了中国的社会性质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探索了中华民族伟大复兴道路</w:t>
      </w:r>
    </w:p>
    <w:p w14:paraId="49F8D4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敌后抗日根据地的很多家庭中，父亲是农救会员，儿子是工救会员，媳妇是妇救会员，孙子是儿童团员，全家积极投身抗战。这种前所未有的现象反映了抗日战争的胜利</w:t>
      </w:r>
    </w:p>
    <w:p w14:paraId="63E5D1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得益于英美盟军的支持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厚植于人民的伟大力量</w:t>
      </w:r>
    </w:p>
    <w:p w14:paraId="6C2933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取决于正面战场的抗战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源自于斗争形式的多样</w:t>
      </w:r>
    </w:p>
    <w:p w14:paraId="2B6CE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达·芬奇的肖像画《蒙娜丽莎》以现实人物为主题，画中人物神态自若，嘴角含着一丝微笑，富有生命的活力。该作品</w:t>
      </w:r>
    </w:p>
    <w:p w14:paraId="3A3048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呈现了封建贵族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展现了古代艺术的成就</w:t>
      </w:r>
    </w:p>
    <w:p w14:paraId="4E2EA6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体现了人文主义的思想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显现了理性时代的特征</w:t>
      </w:r>
    </w:p>
    <w:p w14:paraId="797301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据图可知，十月革命的胜利表明社会主义</w:t>
      </w:r>
    </w:p>
    <w:p w14:paraId="1E7F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563880"/>
            <wp:effectExtent l="0" t="0" r="0" b="762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6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109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19 </w:t>
      </w:r>
      <w:r>
        <w:rPr>
          <w:rFonts w:ascii="宋体" w:hAnsi="宋体"/>
          <w:color w:val="000000"/>
        </w:rPr>
        <w:t>世纪中期～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世纪初期社会主义革命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历程</w:t>
      </w:r>
    </w:p>
    <w:p w14:paraId="2EDB99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工业化成功实现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由理想变成现实</w:t>
      </w:r>
    </w:p>
    <w:p w14:paraId="544015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计划经济的形成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从暴力走向和平</w:t>
      </w:r>
    </w:p>
    <w:p w14:paraId="626DDD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徽标中的线条构成了桥形轮廓，寓意着</w:t>
      </w:r>
      <w:r>
        <w:rPr>
          <w:rFonts w:eastAsia="Times New Roman" w:cs="Times New Roman"/>
          <w:color w:val="000000"/>
        </w:rPr>
        <w:t>G20</w:t>
      </w:r>
      <w:r>
        <w:rPr>
          <w:rFonts w:ascii="宋体" w:hAnsi="宋体"/>
          <w:color w:val="000000"/>
        </w:rPr>
        <w:t>已成为全球经济增长之桥、国际社会合作之桥、面向未来的共赢之桥。</w:t>
      </w:r>
      <w:r>
        <w:rPr>
          <w:rFonts w:eastAsia="Times New Roman" w:cs="Times New Roman"/>
          <w:color w:val="000000"/>
        </w:rPr>
        <w:t>G20</w:t>
      </w:r>
      <w:r>
        <w:rPr>
          <w:rFonts w:ascii="宋体" w:hAnsi="宋体"/>
          <w:color w:val="000000"/>
        </w:rPr>
        <w:t>的“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”体现了各国团结协作的精神。这反映的时代潮流是</w:t>
      </w:r>
    </w:p>
    <w:p w14:paraId="1EA9E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00400" cy="771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835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和平、发展、合作、共赢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安全、互惠、合作、共赢</w:t>
      </w:r>
    </w:p>
    <w:p w14:paraId="14EFC6D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改革、创新、挑战、竞争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和平、发展、绿色、环保</w:t>
      </w:r>
    </w:p>
    <w:p w14:paraId="2D23E9E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二、非选择题：本题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分。请将答案写在答题卡的对应位置。</w:t>
      </w:r>
    </w:p>
    <w:p w14:paraId="5CCB00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阅读材料，完成下列要求。</w:t>
      </w:r>
    </w:p>
    <w:p w14:paraId="2F87B4E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从吐蕃传来的马球运动在盛唐时期非常流行，帝王将相、文人雅士，甚至宫廷妇女都参与其中。唐与吐蕃、突厥首领会盟时组织马球比赛。日本遣唐使把马球的玩法带回了日本。马球运动这项强健体魄、开放心胸的运动，是当时社会和平、富足的体现，是“盛唐气象”的一个缩影。</w:t>
      </w:r>
    </w:p>
    <w:p w14:paraId="6B71D46C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——摘编自吴建华《从马球文化看唐代文化的包容性和盛唐的自信》</w:t>
      </w:r>
    </w:p>
    <w:p w14:paraId="72B2E71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宋代城市文化生活丰富，蹴鞠是市民阶层喜闻乐见的娱乐活动。图5铜镜的背面呈现了一对青年男女在花园里踢球，有人为他们助兴的情景。</w:t>
      </w:r>
    </w:p>
    <w:p w14:paraId="0F3C20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85975" cy="14097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8FA87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——摘编自统编教材七年级下册 《中国历史》教师教学用书</w:t>
      </w:r>
    </w:p>
    <w:p w14:paraId="2AA5111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1981年，中国女排在世界杯比赛中首次夺冠给国人带来的激情，与改革开放初期中国人奋起直追的心情完全契合。国人喊出了“团结起来，振兴中华”的口号。《人民日报》写道：“用中国女排这种拼搏精神去搞现代化建设，何愁现代化不能实现？”</w:t>
      </w:r>
    </w:p>
    <w:p w14:paraId="66429D4C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——摘编自汪大昭《学习女排，振兴中华》</w:t>
      </w:r>
    </w:p>
    <w:p w14:paraId="76FAD8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（1）根据材料一并结合所学知识，概括马球运动流行所展现的“盛唐气象”。</w:t>
      </w:r>
    </w:p>
    <w:p w14:paraId="39D0DE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（2）根据材料二并结合所学知识，说出宋代蹴鞠流行的阶层，并简析原因。</w:t>
      </w:r>
    </w:p>
    <w:p w14:paraId="37CA7D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（3）根据材料三并结合所学知识，谈谈女排夺冠的时代价值。</w:t>
      </w:r>
    </w:p>
    <w:p w14:paraId="10B35F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阅读材料，完成下列要求。</w:t>
      </w:r>
    </w:p>
    <w:p w14:paraId="61A7D0C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 《人民日报》1949~1955年的部分社论</w:t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85"/>
        <w:gridCol w:w="6735"/>
      </w:tblGrid>
      <w:tr w14:paraId="0BA1B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3C606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  间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DE636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  题</w:t>
            </w:r>
          </w:p>
        </w:tc>
      </w:tr>
      <w:tr w14:paraId="3EA40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86CE5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1949年9月24日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21B39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新纪元开始了——记政协代表关于 国旗、国都、纪元的讨论</w:t>
            </w:r>
          </w:p>
        </w:tc>
      </w:tr>
      <w:tr w14:paraId="13E9E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13FAB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1949年10月1日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70036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万岁，新中国！</w:t>
            </w:r>
          </w:p>
        </w:tc>
      </w:tr>
      <w:tr w14:paraId="7D076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614A3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1950年7月16日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6335A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土改法带来幸福远景，关中农民无限喜悦</w:t>
            </w:r>
          </w:p>
        </w:tc>
      </w:tr>
      <w:tr w14:paraId="66A81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DB2B6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1950年11月6日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05EA0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首都文艺界集会讨论，纷纷签名志愿抗美援朝</w:t>
            </w:r>
          </w:p>
        </w:tc>
      </w:tr>
      <w:tr w14:paraId="0EEA5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2C0F6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1953年11月9日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4108D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必须大张旗鼓地向农民宣传过渡时期的总路线</w:t>
            </w:r>
          </w:p>
        </w:tc>
      </w:tr>
      <w:tr w14:paraId="63B04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643CD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1954年6月29日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23A7E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中印两国总理联合声明</w:t>
            </w:r>
          </w:p>
        </w:tc>
      </w:tr>
      <w:tr w14:paraId="00FB7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F6D34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1954年9月21日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0B6D1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中华人民共和国宪法——中国人民建设社会主义社会的有力武器</w:t>
            </w:r>
          </w:p>
        </w:tc>
      </w:tr>
      <w:tr w14:paraId="33B70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BAC87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1955年4月27日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E3144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从万隆开始</w:t>
            </w:r>
          </w:p>
        </w:tc>
      </w:tr>
    </w:tbl>
    <w:p w14:paraId="0B7E7354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——摘编自陈月明《使命与主体：〈人民日报〉社论(1949~2008) 的话语呈现》</w:t>
      </w:r>
    </w:p>
    <w:p w14:paraId="459615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材料可以提炼出“中华人民共和国成立和巩固”“独立自主的和平外交”“社会主义制度的建立”三个主题，请你任选一个，并结合所学知识，从材料中提取三个相关联的史事，围绕主题，加以说明。（要求：史论结合，条理清楚，符合逻辑。）</w:t>
      </w:r>
    </w:p>
    <w:p w14:paraId="3BADA9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阅读材料，完成下列要求。</w:t>
      </w:r>
    </w:p>
    <w:p w14:paraId="7205240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12世纪，随着城市商品经济的活跃，中世纪大学问世。大学创办之初，不受外来干涉而具有自我管理的权限。学生在完成文法、修辞、逻辑等七门基础课后学习法律、医学等专业课。大学的世俗教育性质为师生创造了自由探索与独立思考的空间，激发了他们对学术研究的兴趣。大学的兴起被认为是欧洲中世纪教育“最美好的花朵”。</w:t>
      </w:r>
    </w:p>
    <w:p w14:paraId="20E3499A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——摘编自统编教材九年级上册《世界历史》</w:t>
      </w:r>
    </w:p>
    <w:p w14:paraId="088D1FB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19世纪的欧美大学成为第二次工业革命的源头，为西方工业化提供了不竭动力。众多科学家在大学实验室中刻苦研究，反复实践，在电磁学、化学和热力学等方面取得了重大突破。这些科研成果在生产实践中被不断转化为生产技术。新的技术、新的发明层出不穷，推动了第二次工业革命的深入发展。</w:t>
      </w:r>
    </w:p>
    <w:p w14:paraId="0A6D0F57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——摘编自元鹏《大学与第二次工业革命》</w:t>
      </w:r>
    </w:p>
    <w:p w14:paraId="2B8B90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（1）根据材料一并结合所学知识，指出中世纪大学的“美好”之处。</w:t>
      </w:r>
    </w:p>
    <w:p w14:paraId="3220C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（2）根据材料二并结合所学知识，解释近代大学是第二次工业革命的“源头”。列举两项当时的“新技术、新发明”。</w:t>
      </w:r>
    </w:p>
    <w:p w14:paraId="0035ED82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（3）根据以上材料，说明大学与社会经济发展的关系。</w:t>
      </w:r>
    </w:p>
    <w:p w14:paraId="622D484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7C2B8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FFA4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30E3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7B27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9F5E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5F58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C4285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3341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507833"/>
    <w:rsid w:val="4245162F"/>
    <w:rsid w:val="50802E22"/>
    <w:rsid w:val="7D30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34F24-1309-409D-9EDD-163C823127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2463</Words>
  <Characters>2596</Characters>
  <Lines>19</Lines>
  <Paragraphs>5</Paragraphs>
  <TotalTime>0</TotalTime>
  <ScaleCrop>false</ScaleCrop>
  <LinksUpToDate>false</LinksUpToDate>
  <CharactersWithSpaces>2700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2022-07-06T17:40:00Z</dcterms:created>
  <dc:creator>学科网试题生产平台</dc:creator>
  <dc:description>3011891131359232</dc:description>
  <cp:lastModifiedBy>上帝掷骰子吗</cp:lastModifiedBy>
  <dcterms:modified xsi:type="dcterms:W3CDTF">2024-07-20T15:59:26Z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71C6BD3CB1384F02B8BF73842E803B96</vt:lpwstr>
  </property>
</Properties>
</file>